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FC9" w:rsidRDefault="00134FC9" w:rsidP="00134FC9"/>
    <w:tbl>
      <w:tblPr>
        <w:tblStyle w:val="TableGrid"/>
        <w:tblpPr w:leftFromText="180" w:rightFromText="180" w:vertAnchor="page" w:horzAnchor="margin" w:tblpY="3361"/>
        <w:tblW w:w="15304" w:type="dxa"/>
        <w:tblLook w:val="04A0" w:firstRow="1" w:lastRow="0" w:firstColumn="1" w:lastColumn="0" w:noHBand="0" w:noVBand="1"/>
      </w:tblPr>
      <w:tblGrid>
        <w:gridCol w:w="2158"/>
        <w:gridCol w:w="5634"/>
        <w:gridCol w:w="1559"/>
        <w:gridCol w:w="1559"/>
        <w:gridCol w:w="1134"/>
        <w:gridCol w:w="3260"/>
      </w:tblGrid>
      <w:tr w:rsidR="00F1423E" w:rsidTr="00F1423E">
        <w:trPr>
          <w:trHeight w:val="274"/>
        </w:trPr>
        <w:tc>
          <w:tcPr>
            <w:tcW w:w="7792" w:type="dxa"/>
            <w:gridSpan w:val="2"/>
          </w:tcPr>
          <w:p w:rsidR="00F1423E" w:rsidRDefault="00F1423E" w:rsidP="00F1423E">
            <w:r>
              <w:t>Funding to be received</w:t>
            </w:r>
            <w:r w:rsidR="00167969">
              <w:t xml:space="preserve"> £14480</w:t>
            </w:r>
          </w:p>
        </w:tc>
        <w:tc>
          <w:tcPr>
            <w:tcW w:w="1559" w:type="dxa"/>
            <w:vMerge w:val="restart"/>
          </w:tcPr>
          <w:p w:rsidR="00F1423E" w:rsidRDefault="00F1423E" w:rsidP="00490D8D">
            <w:r>
              <w:t>How much?</w:t>
            </w:r>
          </w:p>
        </w:tc>
        <w:tc>
          <w:tcPr>
            <w:tcW w:w="1559" w:type="dxa"/>
            <w:vMerge w:val="restart"/>
          </w:tcPr>
          <w:p w:rsidR="00F1423E" w:rsidRDefault="00F1423E" w:rsidP="004B17D4">
            <w:r>
              <w:t>For how long?</w:t>
            </w:r>
          </w:p>
        </w:tc>
        <w:tc>
          <w:tcPr>
            <w:tcW w:w="1134" w:type="dxa"/>
            <w:vMerge w:val="restart"/>
          </w:tcPr>
          <w:p w:rsidR="00F1423E" w:rsidRDefault="00F1423E" w:rsidP="006A5E6D">
            <w:r>
              <w:t>Who will monitor ?</w:t>
            </w:r>
          </w:p>
        </w:tc>
        <w:tc>
          <w:tcPr>
            <w:tcW w:w="3260" w:type="dxa"/>
            <w:vMerge w:val="restart"/>
          </w:tcPr>
          <w:p w:rsidR="00F1423E" w:rsidRDefault="00F1423E" w:rsidP="009036D9">
            <w:r>
              <w:t>What will impact be ?</w:t>
            </w:r>
          </w:p>
        </w:tc>
      </w:tr>
      <w:tr w:rsidR="00F1423E" w:rsidTr="00F1423E">
        <w:trPr>
          <w:trHeight w:val="279"/>
        </w:trPr>
        <w:tc>
          <w:tcPr>
            <w:tcW w:w="2158" w:type="dxa"/>
          </w:tcPr>
          <w:p w:rsidR="00F1423E" w:rsidRDefault="00F1423E" w:rsidP="00F1423E">
            <w:r>
              <w:t>Why ?</w:t>
            </w:r>
          </w:p>
        </w:tc>
        <w:tc>
          <w:tcPr>
            <w:tcW w:w="5634" w:type="dxa"/>
          </w:tcPr>
          <w:p w:rsidR="00F1423E" w:rsidRDefault="00F1423E" w:rsidP="00F1423E">
            <w:r>
              <w:t>Plan ?</w:t>
            </w:r>
          </w:p>
        </w:tc>
        <w:tc>
          <w:tcPr>
            <w:tcW w:w="1559" w:type="dxa"/>
            <w:vMerge/>
          </w:tcPr>
          <w:p w:rsidR="00F1423E" w:rsidRDefault="00F1423E" w:rsidP="00F1423E"/>
        </w:tc>
        <w:tc>
          <w:tcPr>
            <w:tcW w:w="1559" w:type="dxa"/>
            <w:vMerge/>
          </w:tcPr>
          <w:p w:rsidR="00F1423E" w:rsidRDefault="00F1423E" w:rsidP="00F1423E"/>
        </w:tc>
        <w:tc>
          <w:tcPr>
            <w:tcW w:w="1134" w:type="dxa"/>
            <w:vMerge/>
          </w:tcPr>
          <w:p w:rsidR="00F1423E" w:rsidRDefault="00F1423E" w:rsidP="00F1423E"/>
        </w:tc>
        <w:tc>
          <w:tcPr>
            <w:tcW w:w="3260" w:type="dxa"/>
            <w:vMerge/>
          </w:tcPr>
          <w:p w:rsidR="00F1423E" w:rsidRDefault="00F1423E" w:rsidP="00F1423E"/>
        </w:tc>
      </w:tr>
      <w:tr w:rsidR="00F1423E" w:rsidTr="00F1423E">
        <w:trPr>
          <w:trHeight w:val="1554"/>
        </w:trPr>
        <w:tc>
          <w:tcPr>
            <w:tcW w:w="2158" w:type="dxa"/>
          </w:tcPr>
          <w:p w:rsidR="00F1423E" w:rsidRDefault="00F1423E" w:rsidP="00F1423E">
            <w:r>
              <w:t xml:space="preserve">After Sept baselines the most concerning area was the drop in reading and phonics skills </w:t>
            </w:r>
          </w:p>
        </w:tc>
        <w:tc>
          <w:tcPr>
            <w:tcW w:w="5634" w:type="dxa"/>
          </w:tcPr>
          <w:p w:rsidR="00F1423E" w:rsidRDefault="00F1423E" w:rsidP="00F1423E">
            <w:pPr>
              <w:pStyle w:val="ListParagraph"/>
              <w:numPr>
                <w:ilvl w:val="0"/>
                <w:numId w:val="1"/>
              </w:numPr>
            </w:pPr>
            <w:r>
              <w:t>Train 2 TA to do same day intervention for RWI across the school</w:t>
            </w:r>
          </w:p>
          <w:p w:rsidR="00F1423E" w:rsidRDefault="00F1423E" w:rsidP="00F1423E">
            <w:pPr>
              <w:pStyle w:val="ListParagraph"/>
              <w:numPr>
                <w:ilvl w:val="0"/>
                <w:numId w:val="1"/>
              </w:numPr>
            </w:pPr>
            <w:r>
              <w:t xml:space="preserve">By in TA support to release the intervention staff from their 121 support role </w:t>
            </w:r>
          </w:p>
          <w:p w:rsidR="00F1423E" w:rsidRDefault="00F1423E" w:rsidP="00F1423E">
            <w:pPr>
              <w:pStyle w:val="ListParagraph"/>
              <w:numPr>
                <w:ilvl w:val="0"/>
                <w:numId w:val="1"/>
              </w:numPr>
            </w:pPr>
            <w:r>
              <w:t>Progress to be closely monitored for impact by the reading leaders</w:t>
            </w:r>
          </w:p>
          <w:p w:rsidR="00F1423E" w:rsidRDefault="00F1423E" w:rsidP="00F1423E">
            <w:pPr>
              <w:pStyle w:val="ListParagraph"/>
              <w:numPr>
                <w:ilvl w:val="0"/>
                <w:numId w:val="1"/>
              </w:numPr>
            </w:pPr>
            <w:r>
              <w:t xml:space="preserve">Teachers to inform TA s who need to be picked up that day or after a period of abs </w:t>
            </w:r>
          </w:p>
          <w:p w:rsidR="00F1423E" w:rsidRDefault="00F1423E" w:rsidP="00F1423E">
            <w:pPr>
              <w:pStyle w:val="ListParagraph"/>
              <w:numPr>
                <w:ilvl w:val="0"/>
                <w:numId w:val="1"/>
              </w:numPr>
            </w:pPr>
            <w:r>
              <w:t xml:space="preserve">Use the training materials from the enhanced package of support  </w:t>
            </w:r>
          </w:p>
          <w:p w:rsidR="00F1423E" w:rsidRDefault="00F1423E" w:rsidP="00F1423E">
            <w:pPr>
              <w:pStyle w:val="ListParagraph"/>
              <w:numPr>
                <w:ilvl w:val="0"/>
                <w:numId w:val="1"/>
              </w:numPr>
            </w:pPr>
            <w:r>
              <w:t xml:space="preserve">support from the consultant from Ruth </w:t>
            </w:r>
            <w:proofErr w:type="spellStart"/>
            <w:r>
              <w:t>Miskin</w:t>
            </w:r>
            <w:proofErr w:type="spellEnd"/>
            <w:r>
              <w:t xml:space="preserve"> -3 in school consultancy days </w:t>
            </w:r>
          </w:p>
        </w:tc>
        <w:tc>
          <w:tcPr>
            <w:tcW w:w="1559" w:type="dxa"/>
          </w:tcPr>
          <w:p w:rsidR="00F1423E" w:rsidRDefault="00F1423E" w:rsidP="00F1423E">
            <w:r>
              <w:t>Autumn Term</w:t>
            </w:r>
          </w:p>
          <w:p w:rsidR="00F1423E" w:rsidRDefault="00167969" w:rsidP="00F1423E">
            <w:r>
              <w:t>£2715</w:t>
            </w:r>
          </w:p>
          <w:p w:rsidR="00F1423E" w:rsidRDefault="00F1423E" w:rsidP="00F1423E">
            <w:r>
              <w:t>Spring Term</w:t>
            </w:r>
          </w:p>
          <w:p w:rsidR="00F1423E" w:rsidRDefault="00167969" w:rsidP="00F1423E">
            <w:r>
              <w:t>£460</w:t>
            </w:r>
          </w:p>
          <w:p w:rsidR="00F1423E" w:rsidRDefault="00F1423E" w:rsidP="00F1423E">
            <w:r>
              <w:t>Summer</w:t>
            </w:r>
          </w:p>
          <w:p w:rsidR="00F1423E" w:rsidRDefault="00F1423E" w:rsidP="00F1423E">
            <w:r>
              <w:t>Term</w:t>
            </w:r>
          </w:p>
          <w:p w:rsidR="00F1423E" w:rsidRDefault="00167969" w:rsidP="00F1423E">
            <w:r>
              <w:t>£9305</w:t>
            </w:r>
          </w:p>
          <w:p w:rsidR="00F1423E" w:rsidRDefault="00F1423E" w:rsidP="00F1423E"/>
        </w:tc>
        <w:tc>
          <w:tcPr>
            <w:tcW w:w="1559" w:type="dxa"/>
          </w:tcPr>
          <w:p w:rsidR="00F1423E" w:rsidRDefault="00F1423E" w:rsidP="00F1423E">
            <w:r>
              <w:t>Autumn Term</w:t>
            </w:r>
          </w:p>
          <w:p w:rsidR="00F1423E" w:rsidRDefault="00F1423E" w:rsidP="00F1423E">
            <w:r>
              <w:t>7 weeks</w:t>
            </w:r>
          </w:p>
          <w:p w:rsidR="00F1423E" w:rsidRDefault="00F1423E" w:rsidP="00F1423E">
            <w:r>
              <w:t>Spring Term</w:t>
            </w:r>
          </w:p>
          <w:p w:rsidR="00F1423E" w:rsidRDefault="00F1423E" w:rsidP="00F1423E">
            <w:r>
              <w:t xml:space="preserve">11 weeks </w:t>
            </w:r>
          </w:p>
          <w:p w:rsidR="00F1423E" w:rsidRDefault="00F1423E" w:rsidP="00F1423E">
            <w:r>
              <w:t>Summer</w:t>
            </w:r>
          </w:p>
          <w:p w:rsidR="00F1423E" w:rsidRDefault="00F1423E" w:rsidP="00F1423E">
            <w:r>
              <w:t>Term</w:t>
            </w:r>
          </w:p>
          <w:p w:rsidR="00F1423E" w:rsidRDefault="00F1423E" w:rsidP="00F1423E">
            <w:r>
              <w:t xml:space="preserve">7 weeks </w:t>
            </w:r>
          </w:p>
          <w:p w:rsidR="00F1423E" w:rsidRDefault="00F1423E" w:rsidP="00F1423E"/>
        </w:tc>
        <w:tc>
          <w:tcPr>
            <w:tcW w:w="1134" w:type="dxa"/>
          </w:tcPr>
          <w:p w:rsidR="00F1423E" w:rsidRDefault="00F1423E" w:rsidP="00F1423E">
            <w:r>
              <w:t>KC</w:t>
            </w:r>
          </w:p>
          <w:p w:rsidR="00F1423E" w:rsidRDefault="00F1423E" w:rsidP="00F1423E">
            <w:r>
              <w:t>HM</w:t>
            </w:r>
          </w:p>
          <w:p w:rsidR="00F1423E" w:rsidRDefault="00F1423E" w:rsidP="00F1423E">
            <w:r>
              <w:t>SG</w:t>
            </w:r>
          </w:p>
        </w:tc>
        <w:tc>
          <w:tcPr>
            <w:tcW w:w="3260" w:type="dxa"/>
          </w:tcPr>
          <w:p w:rsidR="00F1423E" w:rsidRDefault="00F1423E" w:rsidP="00F1423E">
            <w:r>
              <w:t xml:space="preserve">Improvement in the percentage of children achieving the national standard in phonic reading and writing at the end the academic year  </w:t>
            </w:r>
          </w:p>
          <w:p w:rsidR="00F1423E" w:rsidRDefault="00F1423E" w:rsidP="00F1423E">
            <w:r>
              <w:t>Accelerated progress of the lowest 20%</w:t>
            </w:r>
          </w:p>
          <w:p w:rsidR="00F1423E" w:rsidRDefault="00F1423E" w:rsidP="00F1423E">
            <w:r>
              <w:t xml:space="preserve">Pupils enjoyment of reading for pleasure </w:t>
            </w:r>
          </w:p>
        </w:tc>
      </w:tr>
      <w:tr w:rsidR="00F1423E" w:rsidTr="00F1423E">
        <w:trPr>
          <w:trHeight w:val="1645"/>
        </w:trPr>
        <w:tc>
          <w:tcPr>
            <w:tcW w:w="2158" w:type="dxa"/>
          </w:tcPr>
          <w:p w:rsidR="00F1423E" w:rsidRDefault="00F1423E" w:rsidP="00F1423E">
            <w:r>
              <w:t>To help promote positive mental health and wellbeing of pupils.</w:t>
            </w:r>
          </w:p>
        </w:tc>
        <w:tc>
          <w:tcPr>
            <w:tcW w:w="5634" w:type="dxa"/>
          </w:tcPr>
          <w:p w:rsidR="00F1423E" w:rsidRDefault="00F1423E" w:rsidP="00F1423E">
            <w:pPr>
              <w:pStyle w:val="ListParagraph"/>
              <w:numPr>
                <w:ilvl w:val="0"/>
                <w:numId w:val="1"/>
              </w:numPr>
            </w:pPr>
            <w:r>
              <w:t xml:space="preserve">To have additional sessions for all children in the wild area with grow to school to improve their mental health and </w:t>
            </w:r>
            <w:proofErr w:type="spellStart"/>
            <w:r>
              <w:t>well being</w:t>
            </w:r>
            <w:proofErr w:type="spellEnd"/>
            <w:r>
              <w:t xml:space="preserve"> and support the CLICK curriculum</w:t>
            </w:r>
          </w:p>
          <w:p w:rsidR="00F1423E" w:rsidRDefault="00F1423E" w:rsidP="00F1423E">
            <w:pPr>
              <w:pStyle w:val="ListParagraph"/>
              <w:numPr>
                <w:ilvl w:val="0"/>
                <w:numId w:val="1"/>
              </w:numPr>
            </w:pPr>
            <w:r>
              <w:t xml:space="preserve">Every year group to have additional sessions plus after school clubs </w:t>
            </w:r>
          </w:p>
        </w:tc>
        <w:tc>
          <w:tcPr>
            <w:tcW w:w="1559" w:type="dxa"/>
          </w:tcPr>
          <w:p w:rsidR="00F1423E" w:rsidRDefault="00F1423E" w:rsidP="00F1423E">
            <w:r>
              <w:t>Autumn Term</w:t>
            </w:r>
          </w:p>
          <w:p w:rsidR="00F1423E" w:rsidRDefault="00167969" w:rsidP="00F1423E">
            <w:r>
              <w:t>£1400</w:t>
            </w:r>
          </w:p>
          <w:p w:rsidR="00F1423E" w:rsidRDefault="00F1423E" w:rsidP="00F1423E">
            <w:r>
              <w:t>Spring Term</w:t>
            </w:r>
          </w:p>
          <w:p w:rsidR="00F1423E" w:rsidRDefault="00167969" w:rsidP="00F1423E">
            <w:r>
              <w:t>£2200</w:t>
            </w:r>
          </w:p>
          <w:p w:rsidR="00F1423E" w:rsidRDefault="00F1423E" w:rsidP="00F1423E">
            <w:r>
              <w:t>Summer</w:t>
            </w:r>
          </w:p>
          <w:p w:rsidR="00F1423E" w:rsidRDefault="00F1423E" w:rsidP="00F1423E">
            <w:r>
              <w:t>Term</w:t>
            </w:r>
          </w:p>
          <w:p w:rsidR="00F1423E" w:rsidRDefault="00167969" w:rsidP="00F1423E">
            <w:r>
              <w:t>£3000</w:t>
            </w:r>
          </w:p>
          <w:p w:rsidR="00F1423E" w:rsidRDefault="00F1423E" w:rsidP="00F1423E"/>
        </w:tc>
        <w:tc>
          <w:tcPr>
            <w:tcW w:w="1559" w:type="dxa"/>
          </w:tcPr>
          <w:p w:rsidR="00F1423E" w:rsidRDefault="00F1423E" w:rsidP="00F1423E">
            <w:r>
              <w:t>Autumn Term</w:t>
            </w:r>
          </w:p>
          <w:p w:rsidR="00F1423E" w:rsidRDefault="00F1423E" w:rsidP="00F1423E">
            <w:r>
              <w:t>6 weeks</w:t>
            </w:r>
          </w:p>
          <w:p w:rsidR="00F1423E" w:rsidRDefault="00F1423E" w:rsidP="00F1423E">
            <w:r>
              <w:t>Spring Term</w:t>
            </w:r>
          </w:p>
          <w:p w:rsidR="00F1423E" w:rsidRDefault="00F1423E" w:rsidP="00F1423E">
            <w:r>
              <w:t xml:space="preserve">11 weeks </w:t>
            </w:r>
          </w:p>
          <w:p w:rsidR="00F1423E" w:rsidRDefault="00F1423E" w:rsidP="00F1423E">
            <w:r>
              <w:t>Summer</w:t>
            </w:r>
          </w:p>
          <w:p w:rsidR="00F1423E" w:rsidRDefault="00F1423E" w:rsidP="00F1423E">
            <w:r>
              <w:t>Term</w:t>
            </w:r>
          </w:p>
          <w:p w:rsidR="00F1423E" w:rsidRDefault="00F1423E" w:rsidP="00F1423E">
            <w:r>
              <w:t xml:space="preserve">11 weeks </w:t>
            </w:r>
          </w:p>
          <w:p w:rsidR="00F1423E" w:rsidRDefault="00F1423E" w:rsidP="00F1423E"/>
        </w:tc>
        <w:tc>
          <w:tcPr>
            <w:tcW w:w="1134" w:type="dxa"/>
          </w:tcPr>
          <w:p w:rsidR="00F1423E" w:rsidRDefault="00F1423E" w:rsidP="00F1423E">
            <w:r>
              <w:t>KC</w:t>
            </w:r>
          </w:p>
          <w:p w:rsidR="00F1423E" w:rsidRDefault="00F1423E" w:rsidP="00F1423E">
            <w:r>
              <w:t>SLT</w:t>
            </w:r>
          </w:p>
        </w:tc>
        <w:tc>
          <w:tcPr>
            <w:tcW w:w="3260" w:type="dxa"/>
          </w:tcPr>
          <w:p w:rsidR="00F1423E" w:rsidRDefault="00F1423E" w:rsidP="00F1423E">
            <w:r>
              <w:t>Improved self-esteem and social emotional responses triggering greater readiness for learning and reduced CEPOMs logs for behaviour incidents</w:t>
            </w:r>
          </w:p>
          <w:p w:rsidR="00F1423E" w:rsidRDefault="00F1423E" w:rsidP="00F1423E">
            <w:r>
              <w:t xml:space="preserve">Positive impact on Thrive profiles </w:t>
            </w:r>
          </w:p>
        </w:tc>
      </w:tr>
      <w:tr w:rsidR="00F1423E" w:rsidTr="00C87284">
        <w:trPr>
          <w:trHeight w:val="352"/>
        </w:trPr>
        <w:tc>
          <w:tcPr>
            <w:tcW w:w="7792" w:type="dxa"/>
            <w:gridSpan w:val="2"/>
          </w:tcPr>
          <w:p w:rsidR="00F1423E" w:rsidRDefault="00F1423E" w:rsidP="00F1423E">
            <w:pPr>
              <w:jc w:val="right"/>
            </w:pPr>
            <w:r>
              <w:t>Total Expenditure</w:t>
            </w:r>
          </w:p>
        </w:tc>
        <w:tc>
          <w:tcPr>
            <w:tcW w:w="1559" w:type="dxa"/>
          </w:tcPr>
          <w:p w:rsidR="00F1423E" w:rsidRDefault="00167969" w:rsidP="00F1423E">
            <w:r>
              <w:t>£19080</w:t>
            </w:r>
            <w:bookmarkStart w:id="0" w:name="_GoBack"/>
            <w:bookmarkEnd w:id="0"/>
          </w:p>
        </w:tc>
        <w:tc>
          <w:tcPr>
            <w:tcW w:w="5953" w:type="dxa"/>
            <w:gridSpan w:val="3"/>
          </w:tcPr>
          <w:p w:rsidR="00F1423E" w:rsidRDefault="00F1423E" w:rsidP="00F1423E">
            <w:r>
              <w:t xml:space="preserve">Shortfall will be picked up by the school fund for the wild area work </w:t>
            </w:r>
          </w:p>
        </w:tc>
      </w:tr>
    </w:tbl>
    <w:p w:rsidR="009E114A" w:rsidRDefault="009E114A" w:rsidP="009E114A">
      <w:proofErr w:type="spellStart"/>
      <w:r>
        <w:t>Netherhall</w:t>
      </w:r>
      <w:proofErr w:type="spellEnd"/>
      <w:r>
        <w:t xml:space="preserve"> </w:t>
      </w:r>
      <w:r w:rsidR="00792B52">
        <w:t>St James Infant School</w:t>
      </w:r>
      <w:r>
        <w:t>– COVID Catch up spending – a recovery plan</w:t>
      </w:r>
    </w:p>
    <w:p w:rsidR="00F1423E" w:rsidRDefault="009E114A" w:rsidP="009E114A">
      <w:r>
        <w:t>“As with all government funding, school leaders must be able to account for how this money is being used to achieve our central goal of schools getting back on track and teaching a normal curriculum as quickly as possible. Given their role in ensuring schools spend funding appropriately and in holding schools to account for educational performance, governors and trustees should scrutinise schools’ approaches to catch-up from September, including their plans for and use of catch-up funding. This should include consideration of whether schools are spending this funding in line with their catch-up priorities, and ensuring appropriate transparency for parents.”</w:t>
      </w:r>
      <w:r w:rsidRPr="00913255">
        <w:t xml:space="preserve"> </w:t>
      </w:r>
    </w:p>
    <w:p w:rsidR="00792B52" w:rsidRDefault="00792B52" w:rsidP="009E114A"/>
    <w:p w:rsidR="00792B52" w:rsidRDefault="00792B52" w:rsidP="009E114A"/>
    <w:p w:rsidR="00792B52" w:rsidRDefault="00792B52" w:rsidP="009E114A"/>
    <w:p w:rsidR="00AC4ACF" w:rsidRDefault="00AC4ACF"/>
    <w:sectPr w:rsidR="00AC4ACF" w:rsidSect="0091325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C60E4"/>
    <w:multiLevelType w:val="hybridMultilevel"/>
    <w:tmpl w:val="BAE453D6"/>
    <w:lvl w:ilvl="0" w:tplc="75FA77AE">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FC9"/>
    <w:rsid w:val="000E2A8A"/>
    <w:rsid w:val="00134FC9"/>
    <w:rsid w:val="00144A53"/>
    <w:rsid w:val="00167969"/>
    <w:rsid w:val="00601430"/>
    <w:rsid w:val="00792B52"/>
    <w:rsid w:val="00800ADA"/>
    <w:rsid w:val="009E114A"/>
    <w:rsid w:val="00AC4ACF"/>
    <w:rsid w:val="00F14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57181"/>
  <w15:chartTrackingRefBased/>
  <w15:docId w15:val="{9DDAB21F-F2EC-4911-9612-60A424CEF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F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1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114A"/>
    <w:pPr>
      <w:ind w:left="720"/>
      <w:contextualSpacing/>
    </w:pPr>
  </w:style>
  <w:style w:type="paragraph" w:styleId="BalloonText">
    <w:name w:val="Balloon Text"/>
    <w:basedOn w:val="Normal"/>
    <w:link w:val="BalloonTextChar"/>
    <w:uiPriority w:val="99"/>
    <w:semiHidden/>
    <w:unhideWhenUsed/>
    <w:rsid w:val="00144A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A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Netherhall Learning Campus</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Coates</dc:creator>
  <cp:keywords/>
  <dc:description/>
  <cp:lastModifiedBy>Joanne Ainley</cp:lastModifiedBy>
  <cp:revision>3</cp:revision>
  <cp:lastPrinted>2020-12-03T15:09:00Z</cp:lastPrinted>
  <dcterms:created xsi:type="dcterms:W3CDTF">2021-05-20T10:09:00Z</dcterms:created>
  <dcterms:modified xsi:type="dcterms:W3CDTF">2021-09-28T14:12:00Z</dcterms:modified>
</cp:coreProperties>
</file>